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917" w:rsidRPr="00320C2E" w:rsidRDefault="00984917" w:rsidP="00984917">
      <w:pPr>
        <w:numPr>
          <w:ilvl w:val="0"/>
          <w:numId w:val="22"/>
        </w:numPr>
        <w:spacing w:before="240"/>
        <w:ind w:left="357" w:hanging="357"/>
        <w:jc w:val="both"/>
        <w:rPr>
          <w:rFonts w:ascii="Arial" w:hAnsi="Arial" w:cs="Arial"/>
          <w:sz w:val="22"/>
          <w:szCs w:val="22"/>
        </w:rPr>
      </w:pPr>
      <w:bookmarkStart w:id="0" w:name="_GoBack"/>
      <w:bookmarkEnd w:id="0"/>
      <w:r w:rsidRPr="00320C2E">
        <w:rPr>
          <w:rFonts w:ascii="Arial" w:hAnsi="Arial" w:cs="Arial"/>
          <w:sz w:val="22"/>
          <w:szCs w:val="22"/>
        </w:rPr>
        <w:t>Arbitration is a formal dispute resolution process in which two or more parties refer their dispute to an independent third person (the arbitrator) for determination.  The result of the arbitration, known as the award, is enforceable in the same manner as a court judgment.</w:t>
      </w:r>
    </w:p>
    <w:p w:rsidR="00984917" w:rsidRPr="00320C2E" w:rsidRDefault="00984917" w:rsidP="00984917">
      <w:pPr>
        <w:numPr>
          <w:ilvl w:val="0"/>
          <w:numId w:val="22"/>
        </w:numPr>
        <w:spacing w:before="240"/>
        <w:ind w:left="357" w:hanging="357"/>
        <w:jc w:val="both"/>
        <w:rPr>
          <w:rFonts w:ascii="Arial" w:hAnsi="Arial" w:cs="Arial"/>
          <w:sz w:val="22"/>
          <w:szCs w:val="22"/>
        </w:rPr>
      </w:pPr>
      <w:r w:rsidRPr="00320C2E">
        <w:rPr>
          <w:rFonts w:ascii="Arial" w:hAnsi="Arial" w:cs="Arial"/>
          <w:sz w:val="22"/>
          <w:szCs w:val="22"/>
        </w:rPr>
        <w:t xml:space="preserve">The </w:t>
      </w:r>
      <w:r w:rsidRPr="00320C2E">
        <w:rPr>
          <w:rFonts w:ascii="Arial" w:hAnsi="Arial" w:cs="Arial"/>
          <w:i/>
          <w:sz w:val="22"/>
          <w:szCs w:val="22"/>
        </w:rPr>
        <w:t>Commercial Arbitration Act 1990</w:t>
      </w:r>
      <w:r w:rsidRPr="00320C2E">
        <w:rPr>
          <w:rFonts w:ascii="Arial" w:hAnsi="Arial" w:cs="Arial"/>
          <w:sz w:val="22"/>
          <w:szCs w:val="22"/>
        </w:rPr>
        <w:t xml:space="preserve"> currently governs domestic commercial arbitrations in </w:t>
      </w:r>
      <w:smartTag w:uri="urn:schemas-microsoft-com:office:smarttags" w:element="place">
        <w:smartTag w:uri="urn:schemas-microsoft-com:office:smarttags" w:element="State">
          <w:r w:rsidRPr="00320C2E">
            <w:rPr>
              <w:rFonts w:ascii="Arial" w:hAnsi="Arial" w:cs="Arial"/>
              <w:sz w:val="22"/>
              <w:szCs w:val="22"/>
            </w:rPr>
            <w:t>Queensland</w:t>
          </w:r>
        </w:smartTag>
      </w:smartTag>
      <w:r w:rsidRPr="00320C2E">
        <w:rPr>
          <w:rFonts w:ascii="Arial" w:hAnsi="Arial" w:cs="Arial"/>
          <w:sz w:val="22"/>
          <w:szCs w:val="22"/>
        </w:rPr>
        <w:t>.  Th</w:t>
      </w:r>
      <w:r>
        <w:rPr>
          <w:rFonts w:ascii="Arial" w:hAnsi="Arial" w:cs="Arial"/>
          <w:sz w:val="22"/>
          <w:szCs w:val="22"/>
        </w:rPr>
        <w:t xml:space="preserve">e </w:t>
      </w:r>
      <w:r w:rsidRPr="00320C2E">
        <w:rPr>
          <w:rFonts w:ascii="Arial" w:hAnsi="Arial" w:cs="Arial"/>
          <w:sz w:val="22"/>
          <w:szCs w:val="22"/>
        </w:rPr>
        <w:t xml:space="preserve">Act, which is one of a series of substantially uniform laws across </w:t>
      </w:r>
      <w:smartTag w:uri="urn:schemas-microsoft-com:office:smarttags" w:element="country-region">
        <w:smartTag w:uri="urn:schemas-microsoft-com:office:smarttags" w:element="place">
          <w:r w:rsidRPr="00320C2E">
            <w:rPr>
              <w:rFonts w:ascii="Arial" w:hAnsi="Arial" w:cs="Arial"/>
              <w:sz w:val="22"/>
              <w:szCs w:val="22"/>
            </w:rPr>
            <w:t>Australia</w:t>
          </w:r>
        </w:smartTag>
      </w:smartTag>
      <w:r w:rsidRPr="00320C2E">
        <w:rPr>
          <w:rFonts w:ascii="Arial" w:hAnsi="Arial" w:cs="Arial"/>
          <w:sz w:val="22"/>
          <w:szCs w:val="22"/>
        </w:rPr>
        <w:t xml:space="preserve"> commonly referred to as the Uniform Commercial Arbitration Acts, was developed under the auspices of the</w:t>
      </w:r>
      <w:r w:rsidR="00B43AAD">
        <w:rPr>
          <w:rFonts w:ascii="Arial" w:hAnsi="Arial" w:cs="Arial"/>
          <w:sz w:val="22"/>
          <w:szCs w:val="22"/>
        </w:rPr>
        <w:t xml:space="preserve"> former</w:t>
      </w:r>
      <w:r w:rsidRPr="00320C2E">
        <w:rPr>
          <w:rFonts w:ascii="Arial" w:hAnsi="Arial" w:cs="Arial"/>
          <w:sz w:val="22"/>
          <w:szCs w:val="22"/>
        </w:rPr>
        <w:t xml:space="preserve"> Standing Committee of Attorneys-General (SCAG). </w:t>
      </w:r>
    </w:p>
    <w:p w:rsidR="00984917" w:rsidRPr="00320C2E" w:rsidRDefault="00984917" w:rsidP="00984917">
      <w:pPr>
        <w:numPr>
          <w:ilvl w:val="0"/>
          <w:numId w:val="22"/>
        </w:numPr>
        <w:spacing w:before="240"/>
        <w:ind w:left="357" w:hanging="357"/>
        <w:jc w:val="both"/>
        <w:rPr>
          <w:rFonts w:ascii="Arial" w:hAnsi="Arial" w:cs="Arial"/>
          <w:sz w:val="22"/>
          <w:szCs w:val="22"/>
        </w:rPr>
      </w:pPr>
      <w:r w:rsidRPr="00320C2E">
        <w:rPr>
          <w:rFonts w:ascii="Arial" w:hAnsi="Arial" w:cs="Arial"/>
          <w:sz w:val="22"/>
          <w:szCs w:val="22"/>
        </w:rPr>
        <w:t>In April 2009, SCAG agreed to develop new uniform commercial arbitration legislation.  In May 2010, SCAG decided to implement the Model Bill and in July 2011, all aspects of that Bill were settled.</w:t>
      </w:r>
    </w:p>
    <w:p w:rsidR="00984917" w:rsidRPr="006927CD" w:rsidRDefault="00984917" w:rsidP="00984917">
      <w:pPr>
        <w:numPr>
          <w:ilvl w:val="0"/>
          <w:numId w:val="22"/>
        </w:numPr>
        <w:spacing w:before="240"/>
        <w:ind w:left="357" w:hanging="357"/>
        <w:jc w:val="both"/>
        <w:rPr>
          <w:rFonts w:ascii="Arial" w:hAnsi="Arial" w:cs="Arial"/>
          <w:sz w:val="22"/>
          <w:szCs w:val="22"/>
        </w:rPr>
      </w:pPr>
      <w:r w:rsidRPr="006927CD">
        <w:rPr>
          <w:rFonts w:ascii="Arial" w:hAnsi="Arial" w:cs="Arial"/>
          <w:sz w:val="22"/>
          <w:szCs w:val="22"/>
        </w:rPr>
        <w:t>The Commercial Arbitration Bill 2012:</w:t>
      </w:r>
    </w:p>
    <w:p w:rsidR="00984917" w:rsidRPr="00346AFC" w:rsidRDefault="00984917" w:rsidP="006927CD">
      <w:pPr>
        <w:numPr>
          <w:ilvl w:val="0"/>
          <w:numId w:val="24"/>
        </w:numPr>
        <w:spacing w:before="120"/>
        <w:ind w:left="714" w:hanging="357"/>
        <w:jc w:val="both"/>
        <w:rPr>
          <w:rFonts w:ascii="Arial" w:hAnsi="Arial" w:cs="Arial"/>
          <w:sz w:val="22"/>
          <w:szCs w:val="22"/>
        </w:rPr>
      </w:pPr>
      <w:r w:rsidRPr="00346AFC">
        <w:rPr>
          <w:rFonts w:ascii="Arial" w:hAnsi="Arial" w:cs="Arial"/>
          <w:sz w:val="22"/>
          <w:szCs w:val="22"/>
        </w:rPr>
        <w:t>replace</w:t>
      </w:r>
      <w:r>
        <w:rPr>
          <w:rFonts w:ascii="Arial" w:hAnsi="Arial" w:cs="Arial"/>
          <w:sz w:val="22"/>
          <w:szCs w:val="22"/>
        </w:rPr>
        <w:t>s</w:t>
      </w:r>
      <w:r w:rsidRPr="00346AFC">
        <w:rPr>
          <w:rFonts w:ascii="Arial" w:hAnsi="Arial" w:cs="Arial"/>
          <w:sz w:val="22"/>
          <w:szCs w:val="22"/>
        </w:rPr>
        <w:t xml:space="preserve"> the </w:t>
      </w:r>
      <w:r w:rsidRPr="00A03DE9">
        <w:rPr>
          <w:rFonts w:ascii="Arial" w:hAnsi="Arial" w:cs="Arial"/>
          <w:i/>
          <w:sz w:val="22"/>
          <w:szCs w:val="22"/>
        </w:rPr>
        <w:t>Commercial Arbitration Act 1990</w:t>
      </w:r>
      <w:r w:rsidRPr="00346AFC">
        <w:rPr>
          <w:rFonts w:ascii="Arial" w:hAnsi="Arial" w:cs="Arial"/>
          <w:sz w:val="22"/>
          <w:szCs w:val="22"/>
        </w:rPr>
        <w:t xml:space="preserve"> (Qld) which currently governs domestic commercial arbitrations in Queensland, with a new </w:t>
      </w:r>
      <w:r>
        <w:rPr>
          <w:rFonts w:ascii="Arial" w:hAnsi="Arial" w:cs="Arial"/>
          <w:sz w:val="22"/>
          <w:szCs w:val="22"/>
        </w:rPr>
        <w:t>B</w:t>
      </w:r>
      <w:r w:rsidRPr="00346AFC">
        <w:rPr>
          <w:rFonts w:ascii="Arial" w:hAnsi="Arial" w:cs="Arial"/>
          <w:sz w:val="22"/>
          <w:szCs w:val="22"/>
        </w:rPr>
        <w:t xml:space="preserve">ill </w:t>
      </w:r>
      <w:r w:rsidRPr="004E7B9F">
        <w:rPr>
          <w:rFonts w:ascii="Arial" w:hAnsi="Arial" w:cs="Arial"/>
          <w:sz w:val="22"/>
          <w:szCs w:val="22"/>
        </w:rPr>
        <w:t>consistent with the national model Bill</w:t>
      </w:r>
      <w:r>
        <w:rPr>
          <w:rFonts w:ascii="Arial" w:hAnsi="Arial" w:cs="Arial"/>
          <w:sz w:val="22"/>
          <w:szCs w:val="22"/>
        </w:rPr>
        <w:t xml:space="preserve"> </w:t>
      </w:r>
      <w:r w:rsidRPr="00346AFC">
        <w:rPr>
          <w:rFonts w:ascii="Arial" w:hAnsi="Arial" w:cs="Arial"/>
          <w:sz w:val="22"/>
          <w:szCs w:val="22"/>
        </w:rPr>
        <w:t xml:space="preserve">agreed to by </w:t>
      </w:r>
      <w:r>
        <w:rPr>
          <w:rFonts w:ascii="Arial" w:hAnsi="Arial" w:cs="Arial"/>
          <w:sz w:val="22"/>
          <w:szCs w:val="22"/>
        </w:rPr>
        <w:t xml:space="preserve">SCAG </w:t>
      </w:r>
      <w:r w:rsidRPr="00346AFC">
        <w:rPr>
          <w:rFonts w:ascii="Arial" w:hAnsi="Arial" w:cs="Arial"/>
          <w:sz w:val="22"/>
          <w:szCs w:val="22"/>
        </w:rPr>
        <w:t>(the model law), based on the United Nations Commission on International Trade Law Model Law on International Commercial Arbitration and supplemented by provisions relevant for a domestic commercial arbitration scheme;</w:t>
      </w:r>
    </w:p>
    <w:p w:rsidR="00984917" w:rsidRDefault="00984917" w:rsidP="006927CD">
      <w:pPr>
        <w:numPr>
          <w:ilvl w:val="0"/>
          <w:numId w:val="24"/>
        </w:numPr>
        <w:spacing w:before="120"/>
        <w:ind w:left="714" w:hanging="357"/>
        <w:jc w:val="both"/>
        <w:rPr>
          <w:rFonts w:ascii="Arial" w:hAnsi="Arial" w:cs="Arial"/>
          <w:sz w:val="22"/>
          <w:szCs w:val="22"/>
        </w:rPr>
      </w:pPr>
      <w:r w:rsidRPr="00346AFC">
        <w:rPr>
          <w:rFonts w:ascii="Arial" w:hAnsi="Arial" w:cs="Arial"/>
          <w:sz w:val="22"/>
          <w:szCs w:val="22"/>
        </w:rPr>
        <w:t>make</w:t>
      </w:r>
      <w:r>
        <w:rPr>
          <w:rFonts w:ascii="Arial" w:hAnsi="Arial" w:cs="Arial"/>
          <w:sz w:val="22"/>
          <w:szCs w:val="22"/>
        </w:rPr>
        <w:t>s</w:t>
      </w:r>
      <w:r w:rsidRPr="00346AFC">
        <w:rPr>
          <w:rFonts w:ascii="Arial" w:hAnsi="Arial" w:cs="Arial"/>
          <w:sz w:val="22"/>
          <w:szCs w:val="22"/>
        </w:rPr>
        <w:t xml:space="preserve"> Queensland’s commercial arbitration laws as consistent as possible with the new commercial arbitration legislation already enacted in other Australian jurisdictions and help</w:t>
      </w:r>
      <w:r>
        <w:rPr>
          <w:rFonts w:ascii="Arial" w:hAnsi="Arial" w:cs="Arial"/>
          <w:sz w:val="22"/>
          <w:szCs w:val="22"/>
        </w:rPr>
        <w:t>s</w:t>
      </w:r>
      <w:r w:rsidRPr="00346AFC">
        <w:rPr>
          <w:rFonts w:ascii="Arial" w:hAnsi="Arial" w:cs="Arial"/>
          <w:sz w:val="22"/>
          <w:szCs w:val="22"/>
        </w:rPr>
        <w:t xml:space="preserve"> align the domestic commercial arbitration regime with the Commonwealth’s </w:t>
      </w:r>
      <w:r w:rsidRPr="00A03DE9">
        <w:rPr>
          <w:rFonts w:ascii="Arial" w:hAnsi="Arial" w:cs="Arial"/>
          <w:i/>
          <w:sz w:val="22"/>
          <w:szCs w:val="22"/>
        </w:rPr>
        <w:t>International Arbitration Act 1974</w:t>
      </w:r>
      <w:r>
        <w:rPr>
          <w:rFonts w:ascii="Arial" w:hAnsi="Arial" w:cs="Arial"/>
          <w:sz w:val="22"/>
          <w:szCs w:val="22"/>
        </w:rPr>
        <w:t>; and</w:t>
      </w:r>
    </w:p>
    <w:p w:rsidR="00984917" w:rsidRDefault="00984917" w:rsidP="006927CD">
      <w:pPr>
        <w:numPr>
          <w:ilvl w:val="0"/>
          <w:numId w:val="24"/>
        </w:numPr>
        <w:spacing w:before="120"/>
        <w:ind w:left="714" w:hanging="357"/>
        <w:jc w:val="both"/>
        <w:rPr>
          <w:rFonts w:ascii="Arial" w:hAnsi="Arial" w:cs="Arial"/>
          <w:sz w:val="22"/>
          <w:szCs w:val="22"/>
        </w:rPr>
      </w:pPr>
      <w:r w:rsidRPr="00346AFC">
        <w:rPr>
          <w:rFonts w:ascii="Arial" w:hAnsi="Arial" w:cs="Arial"/>
          <w:sz w:val="22"/>
          <w:szCs w:val="22"/>
        </w:rPr>
        <w:t>create</w:t>
      </w:r>
      <w:r>
        <w:rPr>
          <w:rFonts w:ascii="Arial" w:hAnsi="Arial" w:cs="Arial"/>
          <w:sz w:val="22"/>
          <w:szCs w:val="22"/>
        </w:rPr>
        <w:t>s</w:t>
      </w:r>
      <w:r w:rsidRPr="00346AFC">
        <w:rPr>
          <w:rFonts w:ascii="Arial" w:hAnsi="Arial" w:cs="Arial"/>
          <w:sz w:val="22"/>
          <w:szCs w:val="22"/>
        </w:rPr>
        <w:t xml:space="preserve"> an environment which encourages better use of the domestic commercial arbitration regime to ensure that businesses have better access to processes for the fair and final resolution of commercial disputes by impartial arbitral tribunals witho</w:t>
      </w:r>
      <w:r>
        <w:rPr>
          <w:rFonts w:ascii="Arial" w:hAnsi="Arial" w:cs="Arial"/>
          <w:sz w:val="22"/>
          <w:szCs w:val="22"/>
        </w:rPr>
        <w:t>ut unnecessary delay or expense</w:t>
      </w:r>
      <w:r w:rsidR="004C6152">
        <w:rPr>
          <w:rFonts w:ascii="Arial" w:hAnsi="Arial" w:cs="Arial"/>
          <w:sz w:val="22"/>
          <w:szCs w:val="22"/>
        </w:rPr>
        <w:t>.</w:t>
      </w:r>
      <w:r>
        <w:rPr>
          <w:rFonts w:ascii="Arial" w:hAnsi="Arial" w:cs="Arial"/>
          <w:sz w:val="22"/>
          <w:szCs w:val="22"/>
        </w:rPr>
        <w:t xml:space="preserve"> </w:t>
      </w:r>
    </w:p>
    <w:p w:rsidR="00984917" w:rsidRPr="005B10D9" w:rsidRDefault="00984917" w:rsidP="00984917">
      <w:pPr>
        <w:numPr>
          <w:ilvl w:val="0"/>
          <w:numId w:val="22"/>
        </w:numPr>
        <w:spacing w:before="240"/>
        <w:ind w:left="357" w:hanging="357"/>
        <w:jc w:val="both"/>
        <w:rPr>
          <w:rFonts w:ascii="Arial" w:hAnsi="Arial" w:cs="Arial"/>
          <w:sz w:val="22"/>
          <w:szCs w:val="22"/>
          <w:u w:val="single"/>
        </w:rPr>
      </w:pPr>
      <w:r w:rsidRPr="008F44CD">
        <w:rPr>
          <w:rFonts w:ascii="Arial" w:hAnsi="Arial" w:cs="Arial"/>
          <w:sz w:val="22"/>
          <w:szCs w:val="22"/>
          <w:u w:val="single"/>
        </w:rPr>
        <w:t xml:space="preserve">Cabinet </w:t>
      </w:r>
      <w:r w:rsidRPr="006927CD">
        <w:rPr>
          <w:rFonts w:ascii="Arial" w:hAnsi="Arial" w:cs="Arial"/>
          <w:sz w:val="22"/>
          <w:szCs w:val="22"/>
          <w:u w:val="single"/>
        </w:rPr>
        <w:t>approve</w:t>
      </w:r>
      <w:r w:rsidR="006927CD" w:rsidRPr="009C7216">
        <w:rPr>
          <w:rFonts w:ascii="Arial" w:hAnsi="Arial" w:cs="Arial"/>
          <w:sz w:val="22"/>
          <w:szCs w:val="22"/>
          <w:u w:val="single"/>
        </w:rPr>
        <w:t>d</w:t>
      </w:r>
      <w:r w:rsidRPr="005B6E3D">
        <w:rPr>
          <w:rFonts w:ascii="Arial" w:hAnsi="Arial" w:cs="Arial"/>
          <w:sz w:val="22"/>
          <w:szCs w:val="22"/>
        </w:rPr>
        <w:t xml:space="preserve"> the introduction of the </w:t>
      </w:r>
      <w:r>
        <w:rPr>
          <w:rFonts w:ascii="Arial" w:hAnsi="Arial" w:cs="Arial"/>
          <w:sz w:val="22"/>
          <w:szCs w:val="22"/>
        </w:rPr>
        <w:t>Commercial Arbitration Bill 2012 into the Legislative Assembly.</w:t>
      </w:r>
    </w:p>
    <w:p w:rsidR="00984917" w:rsidRPr="006927CD" w:rsidRDefault="00984917" w:rsidP="006927CD">
      <w:pPr>
        <w:numPr>
          <w:ilvl w:val="0"/>
          <w:numId w:val="22"/>
        </w:numPr>
        <w:spacing w:before="360"/>
        <w:ind w:left="357" w:hanging="357"/>
        <w:jc w:val="both"/>
        <w:rPr>
          <w:rFonts w:ascii="Arial" w:hAnsi="Arial" w:cs="Arial"/>
          <w:sz w:val="22"/>
          <w:szCs w:val="22"/>
        </w:rPr>
      </w:pPr>
      <w:r w:rsidRPr="00CB5A48">
        <w:rPr>
          <w:rFonts w:ascii="Arial" w:hAnsi="Arial" w:cs="Arial"/>
          <w:i/>
          <w:sz w:val="22"/>
          <w:szCs w:val="22"/>
          <w:u w:val="single"/>
        </w:rPr>
        <w:t>Attachments</w:t>
      </w:r>
    </w:p>
    <w:p w:rsidR="00984917" w:rsidRPr="005B6E3D" w:rsidRDefault="00785ECC" w:rsidP="006927CD">
      <w:pPr>
        <w:numPr>
          <w:ilvl w:val="0"/>
          <w:numId w:val="23"/>
        </w:numPr>
        <w:spacing w:before="120"/>
        <w:ind w:left="714" w:hanging="357"/>
        <w:jc w:val="both"/>
        <w:rPr>
          <w:rFonts w:ascii="Arial" w:hAnsi="Arial" w:cs="Arial"/>
          <w:sz w:val="22"/>
          <w:szCs w:val="22"/>
        </w:rPr>
      </w:pPr>
      <w:hyperlink r:id="rId7" w:history="1">
        <w:r w:rsidR="00984917" w:rsidRPr="00B362B6">
          <w:rPr>
            <w:rStyle w:val="Hyperlink"/>
            <w:rFonts w:ascii="Arial" w:hAnsi="Arial" w:cs="Arial"/>
            <w:sz w:val="22"/>
            <w:szCs w:val="22"/>
          </w:rPr>
          <w:t>Commercial Arbitration Bill 2012</w:t>
        </w:r>
      </w:hyperlink>
    </w:p>
    <w:p w:rsidR="002B4B58" w:rsidRPr="006927CD" w:rsidRDefault="00785ECC" w:rsidP="006927CD">
      <w:pPr>
        <w:numPr>
          <w:ilvl w:val="0"/>
          <w:numId w:val="23"/>
        </w:numPr>
        <w:spacing w:before="120"/>
        <w:ind w:left="714" w:hanging="357"/>
        <w:rPr>
          <w:szCs w:val="22"/>
        </w:rPr>
      </w:pPr>
      <w:hyperlink r:id="rId8" w:history="1">
        <w:r w:rsidR="00984917" w:rsidRPr="00B362B6">
          <w:rPr>
            <w:rStyle w:val="Hyperlink"/>
            <w:rFonts w:ascii="Arial" w:hAnsi="Arial" w:cs="Arial"/>
            <w:sz w:val="22"/>
            <w:szCs w:val="22"/>
          </w:rPr>
          <w:t>E</w:t>
        </w:r>
        <w:r w:rsidR="00B362B6">
          <w:rPr>
            <w:rStyle w:val="Hyperlink"/>
            <w:rFonts w:ascii="Arial" w:hAnsi="Arial" w:cs="Arial"/>
            <w:sz w:val="22"/>
            <w:szCs w:val="22"/>
          </w:rPr>
          <w:t>xplanatory N</w:t>
        </w:r>
        <w:r w:rsidR="00984917" w:rsidRPr="00B362B6">
          <w:rPr>
            <w:rStyle w:val="Hyperlink"/>
            <w:rFonts w:ascii="Arial" w:hAnsi="Arial" w:cs="Arial"/>
            <w:sz w:val="22"/>
            <w:szCs w:val="22"/>
          </w:rPr>
          <w:t>otes</w:t>
        </w:r>
      </w:hyperlink>
    </w:p>
    <w:sectPr w:rsidR="002B4B58" w:rsidRPr="006927CD" w:rsidSect="007923E0">
      <w:headerReference w:type="default" r:id="rId9"/>
      <w:footerReference w:type="default" r:id="rId10"/>
      <w:headerReference w:type="first" r:id="rId11"/>
      <w:pgSz w:w="11907" w:h="16840" w:code="9"/>
      <w:pgMar w:top="1440" w:right="1418" w:bottom="425" w:left="1418" w:header="851"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09D" w:rsidRDefault="008F509D">
      <w:r>
        <w:separator/>
      </w:r>
    </w:p>
  </w:endnote>
  <w:endnote w:type="continuationSeparator" w:id="0">
    <w:p w:rsidR="008F509D" w:rsidRDefault="008F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AC4" w:rsidRPr="001141E1" w:rsidRDefault="00E86AC4" w:rsidP="00745F4C">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09D" w:rsidRDefault="008F509D">
      <w:r>
        <w:separator/>
      </w:r>
    </w:p>
  </w:footnote>
  <w:footnote w:type="continuationSeparator" w:id="0">
    <w:p w:rsidR="008F509D" w:rsidRDefault="008F5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AC4" w:rsidRPr="000400F9" w:rsidRDefault="00766522" w:rsidP="00745F4C">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E86AC4" w:rsidRPr="000400F9">
      <w:rPr>
        <w:rFonts w:ascii="Arial" w:hAnsi="Arial" w:cs="Arial"/>
        <w:b/>
        <w:sz w:val="22"/>
        <w:szCs w:val="22"/>
        <w:u w:val="single"/>
      </w:rPr>
      <w:t xml:space="preserve">Cabinet – </w:t>
    </w:r>
    <w:r w:rsidR="00E86AC4">
      <w:rPr>
        <w:rFonts w:ascii="Arial" w:hAnsi="Arial" w:cs="Arial"/>
        <w:b/>
        <w:sz w:val="22"/>
        <w:szCs w:val="22"/>
        <w:u w:val="single"/>
      </w:rPr>
      <w:t>month year</w:t>
    </w:r>
  </w:p>
  <w:p w:rsidR="00E86AC4" w:rsidRDefault="00E86AC4" w:rsidP="00745F4C">
    <w:pPr>
      <w:pStyle w:val="Header"/>
      <w:spacing w:before="120"/>
      <w:rPr>
        <w:rFonts w:ascii="Arial" w:hAnsi="Arial" w:cs="Arial"/>
        <w:b/>
        <w:sz w:val="22"/>
        <w:szCs w:val="22"/>
        <w:u w:val="single"/>
      </w:rPr>
    </w:pPr>
    <w:r>
      <w:rPr>
        <w:rFonts w:ascii="Arial" w:hAnsi="Arial" w:cs="Arial"/>
        <w:b/>
        <w:sz w:val="22"/>
        <w:szCs w:val="22"/>
        <w:u w:val="single"/>
      </w:rPr>
      <w:t>submission subject</w:t>
    </w:r>
  </w:p>
  <w:p w:rsidR="00E86AC4" w:rsidRDefault="00E86AC4" w:rsidP="00745F4C">
    <w:pPr>
      <w:pStyle w:val="Header"/>
      <w:spacing w:before="120"/>
      <w:rPr>
        <w:rFonts w:ascii="Arial" w:hAnsi="Arial" w:cs="Arial"/>
        <w:b/>
        <w:sz w:val="22"/>
        <w:szCs w:val="22"/>
        <w:u w:val="single"/>
      </w:rPr>
    </w:pPr>
    <w:r>
      <w:rPr>
        <w:rFonts w:ascii="Arial" w:hAnsi="Arial" w:cs="Arial"/>
        <w:b/>
        <w:sz w:val="22"/>
        <w:szCs w:val="22"/>
        <w:u w:val="single"/>
      </w:rPr>
      <w:t>Minister/s title</w:t>
    </w:r>
  </w:p>
  <w:p w:rsidR="00E86AC4" w:rsidRPr="00F10DF9" w:rsidRDefault="00E86AC4" w:rsidP="00745F4C">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1FE" w:rsidRDefault="00D151FE" w:rsidP="00D151FE">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r>
      <w:rPr>
        <w:rFonts w:ascii="Arial" w:hAnsi="Arial" w:cs="Arial"/>
        <w:b/>
        <w:sz w:val="28"/>
        <w:szCs w:val="22"/>
      </w:rPr>
      <w:t>Queensland Government</w:t>
    </w:r>
  </w:p>
  <w:p w:rsidR="00D151FE" w:rsidRDefault="00D151FE" w:rsidP="00D151FE">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D151FE" w:rsidRDefault="00D151FE" w:rsidP="00D151FE">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Pr>
        <w:rFonts w:ascii="Arial" w:hAnsi="Arial" w:cs="Arial"/>
        <w:b/>
        <w:sz w:val="22"/>
        <w:szCs w:val="22"/>
      </w:rPr>
      <w:t>Cabinet – October 2012</w:t>
    </w:r>
  </w:p>
  <w:p w:rsidR="00D151FE" w:rsidRPr="00935EF8" w:rsidRDefault="00D151FE" w:rsidP="00D151FE">
    <w:pPr>
      <w:pStyle w:val="Header"/>
      <w:spacing w:before="120"/>
      <w:rPr>
        <w:rFonts w:ascii="Arial" w:hAnsi="Arial" w:cs="Arial"/>
        <w:b/>
        <w:sz w:val="22"/>
        <w:szCs w:val="22"/>
        <w:u w:val="single"/>
      </w:rPr>
    </w:pPr>
    <w:r w:rsidRPr="00935EF8">
      <w:rPr>
        <w:rFonts w:ascii="Arial" w:hAnsi="Arial" w:cs="Arial"/>
        <w:b/>
        <w:sz w:val="22"/>
        <w:szCs w:val="22"/>
        <w:u w:val="single"/>
      </w:rPr>
      <w:t>Commercial Arbitration Bill 2012</w:t>
    </w:r>
  </w:p>
  <w:p w:rsidR="00D151FE" w:rsidRDefault="00D151FE" w:rsidP="00D151FE">
    <w:pPr>
      <w:pStyle w:val="Header"/>
      <w:spacing w:before="120"/>
      <w:rPr>
        <w:rFonts w:ascii="Arial" w:hAnsi="Arial" w:cs="Arial"/>
        <w:b/>
        <w:sz w:val="22"/>
        <w:szCs w:val="22"/>
        <w:u w:val="single"/>
      </w:rPr>
    </w:pPr>
    <w:r>
      <w:rPr>
        <w:rFonts w:ascii="Arial" w:hAnsi="Arial" w:cs="Arial"/>
        <w:b/>
        <w:sz w:val="22"/>
        <w:szCs w:val="22"/>
        <w:u w:val="single"/>
      </w:rPr>
      <w:t>Attorney-General and Minister for Justice</w:t>
    </w:r>
  </w:p>
  <w:p w:rsidR="00D151FE" w:rsidRDefault="00D151FE" w:rsidP="00D151FE">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lvl>
  </w:abstractNum>
  <w:abstractNum w:abstractNumId="1" w15:restartNumberingAfterBreak="0">
    <w:nsid w:val="02D55FDA"/>
    <w:multiLevelType w:val="multilevel"/>
    <w:tmpl w:val="B37881F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F632AA"/>
    <w:multiLevelType w:val="hybridMultilevel"/>
    <w:tmpl w:val="C20851B8"/>
    <w:lvl w:ilvl="0" w:tplc="7448716C">
      <w:start w:val="1"/>
      <w:numFmt w:val="lowerLetter"/>
      <w:lvlText w:val="%1)"/>
      <w:lvlJc w:val="left"/>
      <w:pPr>
        <w:tabs>
          <w:tab w:val="num" w:pos="567"/>
        </w:tabs>
        <w:ind w:left="92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BB0C51"/>
    <w:multiLevelType w:val="multilevel"/>
    <w:tmpl w:val="7BF2699E"/>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923B1A"/>
    <w:multiLevelType w:val="hybridMultilevel"/>
    <w:tmpl w:val="071E4DB2"/>
    <w:lvl w:ilvl="0" w:tplc="B178000E">
      <w:start w:val="1"/>
      <w:numFmt w:val="bullet"/>
      <w:lvlText w:val=""/>
      <w:lvlJc w:val="left"/>
      <w:pPr>
        <w:tabs>
          <w:tab w:val="num" w:pos="360"/>
        </w:tabs>
        <w:ind w:left="360" w:hanging="360"/>
      </w:pPr>
      <w:rPr>
        <w:rFonts w:ascii="Symbol" w:hAnsi="Symbol" w:hint="default"/>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E7600E3"/>
    <w:multiLevelType w:val="hybridMultilevel"/>
    <w:tmpl w:val="7254A0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9A1882"/>
    <w:multiLevelType w:val="hybridMultilevel"/>
    <w:tmpl w:val="D20CBF80"/>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6DE6743"/>
    <w:multiLevelType w:val="multilevel"/>
    <w:tmpl w:val="028C301A"/>
    <w:lvl w:ilvl="0">
      <w:start w:val="1"/>
      <w:numFmt w:val="decimal"/>
      <w:lvlText w:val="%1."/>
      <w:lvlJc w:val="left"/>
      <w:pPr>
        <w:tabs>
          <w:tab w:val="num" w:pos="567"/>
        </w:tabs>
        <w:ind w:left="567" w:hanging="567"/>
      </w:pPr>
      <w:rPr>
        <w:rFonts w:hint="default"/>
        <w:b w:val="0"/>
        <w:i w:val="0"/>
      </w:rPr>
    </w:lvl>
    <w:lvl w:ilvl="1">
      <w:start w:val="1"/>
      <w:numFmt w:val="bullet"/>
      <w:lvlText w:val=""/>
      <w:lvlJc w:val="left"/>
      <w:pPr>
        <w:tabs>
          <w:tab w:val="num" w:pos="567"/>
        </w:tabs>
        <w:ind w:left="567" w:firstLine="0"/>
      </w:pPr>
      <w:rPr>
        <w:rFonts w:ascii="Symbol" w:hAnsi="Symbol" w:hint="default"/>
      </w:rPr>
    </w:lvl>
    <w:lvl w:ilvl="2">
      <w:start w:val="1"/>
      <w:numFmt w:val="bullet"/>
      <w:lvlText w:val="-"/>
      <w:lvlJc w:val="left"/>
      <w:pPr>
        <w:tabs>
          <w:tab w:val="num" w:pos="567"/>
        </w:tabs>
        <w:ind w:left="567" w:firstLine="567"/>
      </w:pPr>
      <w:rPr>
        <w:rFonts w:ascii="Arial" w:hAnsi="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DD07C16"/>
    <w:multiLevelType w:val="hybridMultilevel"/>
    <w:tmpl w:val="08FC220C"/>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55502D73"/>
    <w:multiLevelType w:val="hybridMultilevel"/>
    <w:tmpl w:val="A8E28240"/>
    <w:lvl w:ilvl="0" w:tplc="0C090005">
      <w:start w:val="1"/>
      <w:numFmt w:val="bullet"/>
      <w:lvlText w:val=""/>
      <w:lvlJc w:val="left"/>
      <w:pPr>
        <w:tabs>
          <w:tab w:val="num" w:pos="717"/>
        </w:tabs>
        <w:ind w:left="717" w:hanging="360"/>
      </w:pPr>
      <w:rPr>
        <w:rFonts w:ascii="Wingdings" w:hAnsi="Wingdings" w:hint="default"/>
      </w:rPr>
    </w:lvl>
    <w:lvl w:ilvl="1" w:tplc="0C090001">
      <w:start w:val="1"/>
      <w:numFmt w:val="bullet"/>
      <w:lvlText w:val=""/>
      <w:lvlJc w:val="left"/>
      <w:pPr>
        <w:tabs>
          <w:tab w:val="num" w:pos="1437"/>
        </w:tabs>
        <w:ind w:left="1437" w:hanging="360"/>
      </w:pPr>
      <w:rPr>
        <w:rFonts w:ascii="Symbol" w:hAnsi="Symbol" w:hint="default"/>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14"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8CB25ED"/>
    <w:multiLevelType w:val="multilevel"/>
    <w:tmpl w:val="29B2E9A4"/>
    <w:lvl w:ilvl="0">
      <w:start w:val="1"/>
      <w:numFmt w:val="bullet"/>
      <w:lvlText w:val=""/>
      <w:lvlJc w:val="left"/>
      <w:pPr>
        <w:tabs>
          <w:tab w:val="num" w:pos="284"/>
        </w:tabs>
        <w:ind w:left="851"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16" w15:restartNumberingAfterBreak="0">
    <w:nsid w:val="5E827EE2"/>
    <w:multiLevelType w:val="multilevel"/>
    <w:tmpl w:val="11705DC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4F3608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5BE4382"/>
    <w:multiLevelType w:val="hybridMultilevel"/>
    <w:tmpl w:val="434065A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15:restartNumberingAfterBreak="0">
    <w:nsid w:val="76ED20EE"/>
    <w:multiLevelType w:val="multilevel"/>
    <w:tmpl w:val="69068418"/>
    <w:lvl w:ilvl="0">
      <w:start w:val="1"/>
      <w:numFmt w:val="bullet"/>
      <w:lvlText w:val=""/>
      <w:lvlJc w:val="left"/>
      <w:pPr>
        <w:tabs>
          <w:tab w:val="num" w:pos="284"/>
        </w:tabs>
        <w:ind w:left="284" w:hanging="284"/>
      </w:pPr>
      <w:rPr>
        <w:rFonts w:ascii="Symbol" w:hAnsi="Symbol" w:hint="default"/>
        <w:b w:val="0"/>
        <w:i w:val="0"/>
      </w:rPr>
    </w:lvl>
    <w:lvl w:ilvl="1">
      <w:start w:val="1"/>
      <w:numFmt w:val="bullet"/>
      <w:lvlText w:val=""/>
      <w:lvlJc w:val="left"/>
      <w:pPr>
        <w:tabs>
          <w:tab w:val="num" w:pos="284"/>
        </w:tabs>
        <w:ind w:left="851" w:hanging="851"/>
      </w:pPr>
      <w:rPr>
        <w:rFonts w:ascii="Symbol" w:hAnsi="Symbol" w:hint="default"/>
      </w:rPr>
    </w:lvl>
    <w:lvl w:ilvl="2">
      <w:start w:val="1"/>
      <w:numFmt w:val="bullet"/>
      <w:lvlText w:val="-"/>
      <w:lvlJc w:val="left"/>
      <w:pPr>
        <w:tabs>
          <w:tab w:val="num" w:pos="0"/>
        </w:tabs>
        <w:ind w:left="0" w:firstLine="567"/>
      </w:pPr>
      <w:rPr>
        <w:rFonts w:ascii="Arial" w:hAnsi="Arial" w:hint="default"/>
      </w:rPr>
    </w:lvl>
    <w:lvl w:ilvl="3">
      <w:start w:val="1"/>
      <w:numFmt w:val="decimal"/>
      <w:lvlText w:val="%1.%2.%3.%4"/>
      <w:lvlJc w:val="left"/>
      <w:pPr>
        <w:tabs>
          <w:tab w:val="num" w:pos="297"/>
        </w:tabs>
        <w:ind w:left="297" w:hanging="86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2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5"/>
  </w:num>
  <w:num w:numId="3">
    <w:abstractNumId w:val="20"/>
  </w:num>
  <w:num w:numId="4">
    <w:abstractNumId w:val="15"/>
  </w:num>
  <w:num w:numId="5">
    <w:abstractNumId w:val="3"/>
  </w:num>
  <w:num w:numId="6">
    <w:abstractNumId w:val="11"/>
  </w:num>
  <w:num w:numId="7">
    <w:abstractNumId w:val="1"/>
  </w:num>
  <w:num w:numId="8">
    <w:abstractNumId w:val="8"/>
  </w:num>
  <w:num w:numId="9">
    <w:abstractNumId w:val="2"/>
  </w:num>
  <w:num w:numId="10">
    <w:abstractNumId w:val="6"/>
  </w:num>
  <w:num w:numId="11">
    <w:abstractNumId w:val="7"/>
  </w:num>
  <w:num w:numId="12">
    <w:abstractNumId w:val="16"/>
  </w:num>
  <w:num w:numId="13">
    <w:abstractNumId w:val="19"/>
  </w:num>
  <w:num w:numId="14">
    <w:abstractNumId w:val="5"/>
  </w:num>
  <w:num w:numId="15">
    <w:abstractNumId w:val="4"/>
  </w:num>
  <w:num w:numId="16">
    <w:abstractNumId w:val="14"/>
  </w:num>
  <w:num w:numId="17">
    <w:abstractNumId w:val="17"/>
  </w:num>
  <w:num w:numId="18">
    <w:abstractNumId w:val="18"/>
  </w:num>
  <w:num w:numId="19">
    <w:abstractNumId w:val="9"/>
  </w:num>
  <w:num w:numId="20">
    <w:abstractNumId w:val="22"/>
  </w:num>
  <w:num w:numId="21">
    <w:abstractNumId w:val="21"/>
  </w:num>
  <w:num w:numId="22">
    <w:abstractNumId w:val="12"/>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42D"/>
    <w:rsid w:val="00021188"/>
    <w:rsid w:val="00041A0F"/>
    <w:rsid w:val="000430DD"/>
    <w:rsid w:val="0005041D"/>
    <w:rsid w:val="00070A40"/>
    <w:rsid w:val="0009634A"/>
    <w:rsid w:val="000A1D7D"/>
    <w:rsid w:val="000A2BAC"/>
    <w:rsid w:val="000A6E5D"/>
    <w:rsid w:val="000C15F5"/>
    <w:rsid w:val="000C2437"/>
    <w:rsid w:val="000C4A15"/>
    <w:rsid w:val="000C7639"/>
    <w:rsid w:val="000D05D6"/>
    <w:rsid w:val="000D3155"/>
    <w:rsid w:val="000E3F6A"/>
    <w:rsid w:val="001227DD"/>
    <w:rsid w:val="00124FE2"/>
    <w:rsid w:val="00126CC9"/>
    <w:rsid w:val="00127F44"/>
    <w:rsid w:val="00140936"/>
    <w:rsid w:val="0014649D"/>
    <w:rsid w:val="0015685D"/>
    <w:rsid w:val="00156C19"/>
    <w:rsid w:val="0017782F"/>
    <w:rsid w:val="00182E54"/>
    <w:rsid w:val="001B5837"/>
    <w:rsid w:val="001C350C"/>
    <w:rsid w:val="001D5A2D"/>
    <w:rsid w:val="001E5583"/>
    <w:rsid w:val="001E6C9A"/>
    <w:rsid w:val="0021344B"/>
    <w:rsid w:val="00216296"/>
    <w:rsid w:val="00222501"/>
    <w:rsid w:val="00240160"/>
    <w:rsid w:val="002415C9"/>
    <w:rsid w:val="0024220C"/>
    <w:rsid w:val="00242B09"/>
    <w:rsid w:val="00256F10"/>
    <w:rsid w:val="00273B58"/>
    <w:rsid w:val="002A6FC7"/>
    <w:rsid w:val="002B4B58"/>
    <w:rsid w:val="002C29EC"/>
    <w:rsid w:val="002E58D6"/>
    <w:rsid w:val="002E5AA0"/>
    <w:rsid w:val="002F7590"/>
    <w:rsid w:val="003024B9"/>
    <w:rsid w:val="003201DC"/>
    <w:rsid w:val="00320C2E"/>
    <w:rsid w:val="00330878"/>
    <w:rsid w:val="0033391A"/>
    <w:rsid w:val="00340EF2"/>
    <w:rsid w:val="00346AFC"/>
    <w:rsid w:val="00355608"/>
    <w:rsid w:val="00373340"/>
    <w:rsid w:val="003737C1"/>
    <w:rsid w:val="00391750"/>
    <w:rsid w:val="003927E5"/>
    <w:rsid w:val="003A4AA8"/>
    <w:rsid w:val="003B5871"/>
    <w:rsid w:val="003C5050"/>
    <w:rsid w:val="003C71CD"/>
    <w:rsid w:val="003D2408"/>
    <w:rsid w:val="003E2D89"/>
    <w:rsid w:val="00412A34"/>
    <w:rsid w:val="004149B9"/>
    <w:rsid w:val="00415965"/>
    <w:rsid w:val="00426D0F"/>
    <w:rsid w:val="00444DCF"/>
    <w:rsid w:val="00464036"/>
    <w:rsid w:val="004740B9"/>
    <w:rsid w:val="00476361"/>
    <w:rsid w:val="00497B82"/>
    <w:rsid w:val="004C6152"/>
    <w:rsid w:val="004C65A5"/>
    <w:rsid w:val="004D7050"/>
    <w:rsid w:val="004E3AE1"/>
    <w:rsid w:val="004E3BC5"/>
    <w:rsid w:val="004E7B9F"/>
    <w:rsid w:val="004F0DC1"/>
    <w:rsid w:val="00527730"/>
    <w:rsid w:val="005425AB"/>
    <w:rsid w:val="00544D16"/>
    <w:rsid w:val="005577AB"/>
    <w:rsid w:val="00560ED3"/>
    <w:rsid w:val="005B10D9"/>
    <w:rsid w:val="005D5BB9"/>
    <w:rsid w:val="005E7616"/>
    <w:rsid w:val="006078BA"/>
    <w:rsid w:val="00636331"/>
    <w:rsid w:val="0064268C"/>
    <w:rsid w:val="00656393"/>
    <w:rsid w:val="0066421E"/>
    <w:rsid w:val="00667828"/>
    <w:rsid w:val="0067667D"/>
    <w:rsid w:val="00681813"/>
    <w:rsid w:val="006927CD"/>
    <w:rsid w:val="006D70D6"/>
    <w:rsid w:val="006E25A6"/>
    <w:rsid w:val="006F2B9A"/>
    <w:rsid w:val="00742804"/>
    <w:rsid w:val="00745F4C"/>
    <w:rsid w:val="00750FB7"/>
    <w:rsid w:val="007510B5"/>
    <w:rsid w:val="007653EB"/>
    <w:rsid w:val="00766522"/>
    <w:rsid w:val="007771B1"/>
    <w:rsid w:val="00782539"/>
    <w:rsid w:val="00785ECC"/>
    <w:rsid w:val="007923E0"/>
    <w:rsid w:val="0079498D"/>
    <w:rsid w:val="00797D78"/>
    <w:rsid w:val="007B6771"/>
    <w:rsid w:val="007C5B4B"/>
    <w:rsid w:val="007C6505"/>
    <w:rsid w:val="007D5192"/>
    <w:rsid w:val="007F46E4"/>
    <w:rsid w:val="00832489"/>
    <w:rsid w:val="00833F8F"/>
    <w:rsid w:val="00834946"/>
    <w:rsid w:val="00862C15"/>
    <w:rsid w:val="00867427"/>
    <w:rsid w:val="00870321"/>
    <w:rsid w:val="008A3F6F"/>
    <w:rsid w:val="008A4523"/>
    <w:rsid w:val="008E442D"/>
    <w:rsid w:val="008F509D"/>
    <w:rsid w:val="0090137E"/>
    <w:rsid w:val="0090282F"/>
    <w:rsid w:val="00910375"/>
    <w:rsid w:val="00911F6B"/>
    <w:rsid w:val="009175A7"/>
    <w:rsid w:val="00933B79"/>
    <w:rsid w:val="009342A1"/>
    <w:rsid w:val="00934403"/>
    <w:rsid w:val="00935EF8"/>
    <w:rsid w:val="0094685D"/>
    <w:rsid w:val="009551A2"/>
    <w:rsid w:val="009566B7"/>
    <w:rsid w:val="00984917"/>
    <w:rsid w:val="009C7216"/>
    <w:rsid w:val="009E4DC1"/>
    <w:rsid w:val="009E4F82"/>
    <w:rsid w:val="009F2656"/>
    <w:rsid w:val="009F3297"/>
    <w:rsid w:val="009F4298"/>
    <w:rsid w:val="00A03DE9"/>
    <w:rsid w:val="00A156DE"/>
    <w:rsid w:val="00A159BA"/>
    <w:rsid w:val="00A17ED0"/>
    <w:rsid w:val="00A41443"/>
    <w:rsid w:val="00A4217C"/>
    <w:rsid w:val="00A45816"/>
    <w:rsid w:val="00A61707"/>
    <w:rsid w:val="00A67675"/>
    <w:rsid w:val="00A70444"/>
    <w:rsid w:val="00A84735"/>
    <w:rsid w:val="00AB3698"/>
    <w:rsid w:val="00AB5421"/>
    <w:rsid w:val="00AB6F21"/>
    <w:rsid w:val="00AD6552"/>
    <w:rsid w:val="00AE5E71"/>
    <w:rsid w:val="00AF610D"/>
    <w:rsid w:val="00B0525E"/>
    <w:rsid w:val="00B362B6"/>
    <w:rsid w:val="00B377F3"/>
    <w:rsid w:val="00B43AAD"/>
    <w:rsid w:val="00B670B7"/>
    <w:rsid w:val="00B97FB4"/>
    <w:rsid w:val="00BB1AFC"/>
    <w:rsid w:val="00BD5C1A"/>
    <w:rsid w:val="00BE346E"/>
    <w:rsid w:val="00BF35DF"/>
    <w:rsid w:val="00BF46CA"/>
    <w:rsid w:val="00C0535B"/>
    <w:rsid w:val="00C16E01"/>
    <w:rsid w:val="00C17E3B"/>
    <w:rsid w:val="00C25880"/>
    <w:rsid w:val="00C30A86"/>
    <w:rsid w:val="00C31326"/>
    <w:rsid w:val="00C34E32"/>
    <w:rsid w:val="00C44A05"/>
    <w:rsid w:val="00C51F18"/>
    <w:rsid w:val="00CB44E7"/>
    <w:rsid w:val="00CB5A48"/>
    <w:rsid w:val="00CC0A18"/>
    <w:rsid w:val="00CC54BF"/>
    <w:rsid w:val="00D151FE"/>
    <w:rsid w:val="00D236A7"/>
    <w:rsid w:val="00D66C10"/>
    <w:rsid w:val="00D740A8"/>
    <w:rsid w:val="00D82051"/>
    <w:rsid w:val="00D827AA"/>
    <w:rsid w:val="00D84B5E"/>
    <w:rsid w:val="00D96412"/>
    <w:rsid w:val="00DA6C5D"/>
    <w:rsid w:val="00DB6FE7"/>
    <w:rsid w:val="00DD1780"/>
    <w:rsid w:val="00DD6BA7"/>
    <w:rsid w:val="00DE61EC"/>
    <w:rsid w:val="00DE73D5"/>
    <w:rsid w:val="00DF08D6"/>
    <w:rsid w:val="00DF2E2C"/>
    <w:rsid w:val="00DF69A7"/>
    <w:rsid w:val="00E129B6"/>
    <w:rsid w:val="00E25F4F"/>
    <w:rsid w:val="00E45438"/>
    <w:rsid w:val="00E464DD"/>
    <w:rsid w:val="00E539DE"/>
    <w:rsid w:val="00E814F1"/>
    <w:rsid w:val="00E84E0F"/>
    <w:rsid w:val="00E86AC4"/>
    <w:rsid w:val="00EA3119"/>
    <w:rsid w:val="00EA5B68"/>
    <w:rsid w:val="00EB074A"/>
    <w:rsid w:val="00EB2A04"/>
    <w:rsid w:val="00EC026F"/>
    <w:rsid w:val="00EC0396"/>
    <w:rsid w:val="00EC3D68"/>
    <w:rsid w:val="00ED29FB"/>
    <w:rsid w:val="00ED6A2F"/>
    <w:rsid w:val="00EE0BF3"/>
    <w:rsid w:val="00EE23E9"/>
    <w:rsid w:val="00EE25B4"/>
    <w:rsid w:val="00EE2D0B"/>
    <w:rsid w:val="00F0109F"/>
    <w:rsid w:val="00F023B9"/>
    <w:rsid w:val="00F04337"/>
    <w:rsid w:val="00F333F5"/>
    <w:rsid w:val="00F515D3"/>
    <w:rsid w:val="00F561A5"/>
    <w:rsid w:val="00F679C1"/>
    <w:rsid w:val="00F822D6"/>
    <w:rsid w:val="00F84EFB"/>
    <w:rsid w:val="00F93C82"/>
    <w:rsid w:val="00FA1624"/>
    <w:rsid w:val="00FA1CE3"/>
    <w:rsid w:val="00FA33B7"/>
    <w:rsid w:val="00FB34E3"/>
    <w:rsid w:val="00FD2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B58"/>
    <w:rPr>
      <w:color w:val="000000"/>
      <w:sz w:val="24"/>
    </w:rPr>
  </w:style>
  <w:style w:type="paragraph" w:styleId="Heading1">
    <w:name w:val="heading 1"/>
    <w:basedOn w:val="Normal"/>
    <w:next w:val="Normal"/>
    <w:qFormat/>
    <w:rsid w:val="00A617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pPr>
    <w:rPr>
      <w:b/>
      <w:color w:val="auto"/>
      <w:lang w:val="en-GB"/>
    </w:rPr>
  </w:style>
  <w:style w:type="paragraph" w:styleId="Heading2">
    <w:name w:val="heading 2"/>
    <w:basedOn w:val="Normal"/>
    <w:next w:val="Normal"/>
    <w:qFormat/>
    <w:rsid w:val="00A61707"/>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rsid w:val="00A61707"/>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1707"/>
    <w:pPr>
      <w:tabs>
        <w:tab w:val="center" w:pos="4153"/>
        <w:tab w:val="right" w:pos="8306"/>
      </w:tabs>
    </w:pPr>
    <w:rPr>
      <w:color w:val="auto"/>
    </w:rPr>
  </w:style>
  <w:style w:type="character" w:styleId="PageNumber">
    <w:name w:val="page number"/>
    <w:basedOn w:val="DefaultParagraphFont"/>
    <w:rsid w:val="00A61707"/>
  </w:style>
  <w:style w:type="paragraph" w:styleId="Footer">
    <w:name w:val="footer"/>
    <w:basedOn w:val="Normal"/>
    <w:rsid w:val="00A61707"/>
    <w:pPr>
      <w:tabs>
        <w:tab w:val="center" w:pos="4153"/>
        <w:tab w:val="right" w:pos="8306"/>
      </w:tabs>
    </w:pPr>
  </w:style>
  <w:style w:type="paragraph" w:styleId="BalloonText">
    <w:name w:val="Balloon Text"/>
    <w:basedOn w:val="Normal"/>
    <w:semiHidden/>
    <w:rsid w:val="00EE23E9"/>
    <w:rPr>
      <w:rFonts w:ascii="Tahoma" w:hAnsi="Tahoma" w:cs="Tahoma"/>
      <w:sz w:val="16"/>
      <w:szCs w:val="16"/>
    </w:rPr>
  </w:style>
  <w:style w:type="paragraph" w:customStyle="1" w:styleId="11">
    <w:name w:val="1(1)"/>
    <w:rsid w:val="000C15F5"/>
    <w:pPr>
      <w:widowControl w:val="0"/>
      <w:ind w:left="720" w:hanging="720"/>
    </w:pPr>
    <w:rPr>
      <w:rFonts w:ascii="Arial" w:hAnsi="Arial" w:cs="Arial"/>
      <w:color w:val="000000"/>
      <w:sz w:val="24"/>
      <w:szCs w:val="24"/>
    </w:rPr>
  </w:style>
  <w:style w:type="paragraph" w:styleId="BodyText">
    <w:name w:val="Body Text"/>
    <w:basedOn w:val="Normal"/>
    <w:rsid w:val="0094685D"/>
    <w:rPr>
      <w:color w:val="auto"/>
      <w:lang w:eastAsia="en-US"/>
    </w:rPr>
  </w:style>
  <w:style w:type="table" w:styleId="TableGrid">
    <w:name w:val="Table Grid"/>
    <w:basedOn w:val="TableNormal"/>
    <w:rsid w:val="00156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31326"/>
    <w:rPr>
      <w:sz w:val="16"/>
      <w:szCs w:val="16"/>
    </w:rPr>
  </w:style>
  <w:style w:type="paragraph" w:styleId="CommentText">
    <w:name w:val="annotation text"/>
    <w:basedOn w:val="Normal"/>
    <w:semiHidden/>
    <w:rsid w:val="00C31326"/>
    <w:rPr>
      <w:sz w:val="20"/>
    </w:rPr>
  </w:style>
  <w:style w:type="paragraph" w:styleId="CommentSubject">
    <w:name w:val="annotation subject"/>
    <w:basedOn w:val="CommentText"/>
    <w:next w:val="CommentText"/>
    <w:semiHidden/>
    <w:rsid w:val="00C31326"/>
    <w:rPr>
      <w:b/>
      <w:bCs/>
    </w:rPr>
  </w:style>
  <w:style w:type="character" w:customStyle="1" w:styleId="HeaderChar">
    <w:name w:val="Header Char"/>
    <w:basedOn w:val="DefaultParagraphFont"/>
    <w:link w:val="Header"/>
    <w:locked/>
    <w:rsid w:val="00984917"/>
    <w:rPr>
      <w:sz w:val="24"/>
      <w:lang w:val="en-AU" w:eastAsia="en-AU" w:bidi="ar-SA"/>
    </w:rPr>
  </w:style>
  <w:style w:type="character" w:styleId="Hyperlink">
    <w:name w:val="Hyperlink"/>
    <w:basedOn w:val="DefaultParagraphFont"/>
    <w:rsid w:val="00B36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68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Comml%20Arb%20ExNo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Comm%20Arb%20Bil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1741</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2033</CharactersWithSpaces>
  <SharedDoc>false</SharedDoc>
  <HyperlinkBase>https://www.cabinet.qld.gov.au/documents/2012/Oct/Comm Arb/</HyperlinkBase>
  <HLinks>
    <vt:vector size="12" baseType="variant">
      <vt:variant>
        <vt:i4>720923</vt:i4>
      </vt:variant>
      <vt:variant>
        <vt:i4>3</vt:i4>
      </vt:variant>
      <vt:variant>
        <vt:i4>0</vt:i4>
      </vt:variant>
      <vt:variant>
        <vt:i4>5</vt:i4>
      </vt:variant>
      <vt:variant>
        <vt:lpwstr>Attachments/Comml Arb ExNotes.PDF</vt:lpwstr>
      </vt:variant>
      <vt:variant>
        <vt:lpwstr/>
      </vt:variant>
      <vt:variant>
        <vt:i4>393231</vt:i4>
      </vt:variant>
      <vt:variant>
        <vt:i4>0</vt:i4>
      </vt:variant>
      <vt:variant>
        <vt:i4>0</vt:i4>
      </vt:variant>
      <vt:variant>
        <vt:i4>5</vt:i4>
      </vt:variant>
      <vt:variant>
        <vt:lpwstr>Attachments/Comm Arb 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2012-11-29T06:45:00Z</cp:lastPrinted>
  <dcterms:created xsi:type="dcterms:W3CDTF">2017-10-24T23:20:00Z</dcterms:created>
  <dcterms:modified xsi:type="dcterms:W3CDTF">2018-03-06T01:15:00Z</dcterms:modified>
  <cp:category>Legislation,Justice,Business,Industry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532130255</vt:i4>
  </property>
  <property fmtid="{D5CDD505-2E9C-101B-9397-08002B2CF9AE}" pid="3" name="_NewReviewCycle">
    <vt:lpwstr/>
  </property>
  <property fmtid="{D5CDD505-2E9C-101B-9397-08002B2CF9AE}" pid="4" name="_PreviousAdHocReviewCycleID">
    <vt:i4>-547327476</vt:i4>
  </property>
  <property fmtid="{D5CDD505-2E9C-101B-9397-08002B2CF9AE}" pid="5" name="_ReviewingToolsShownOnce">
    <vt:lpwstr/>
  </property>
</Properties>
</file>